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5D" w:rsidRDefault="009451BA" w:rsidP="004A7FA6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SYARAT PERTANDINGAN</w:t>
      </w:r>
    </w:p>
    <w:p w:rsidR="00F478F4" w:rsidRDefault="009451BA" w:rsidP="004A7FA6">
      <w:pPr>
        <w:spacing w:line="36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INOVASI </w:t>
      </w:r>
      <w:r w:rsidR="00F478F4">
        <w:rPr>
          <w:rFonts w:ascii="Arial Narrow" w:hAnsi="Arial Narrow" w:cs="Arial"/>
          <w:b/>
        </w:rPr>
        <w:t xml:space="preserve">SAINS </w:t>
      </w:r>
      <w:r>
        <w:rPr>
          <w:rFonts w:ascii="Arial Narrow" w:hAnsi="Arial Narrow" w:cs="Arial"/>
          <w:b/>
        </w:rPr>
        <w:t xml:space="preserve">DAN KEJURUTERAAN </w:t>
      </w:r>
    </w:p>
    <w:p w:rsidR="009451BA" w:rsidRPr="00354B5C" w:rsidRDefault="009451BA" w:rsidP="004A7FA6">
      <w:pPr>
        <w:spacing w:line="360" w:lineRule="auto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</w:rPr>
        <w:t>(KASTEK) 2013</w:t>
      </w:r>
    </w:p>
    <w:p w:rsidR="00C145E0" w:rsidRPr="0092733E" w:rsidRDefault="00C145E0" w:rsidP="004A7FA6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fi-FI"/>
        </w:rPr>
      </w:pPr>
    </w:p>
    <w:p w:rsidR="00A4251C" w:rsidRPr="004A7FA6" w:rsidRDefault="004E265D" w:rsidP="009451BA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4A7FA6">
        <w:rPr>
          <w:rFonts w:ascii="Arial Narrow" w:hAnsi="Arial Narrow" w:cs="Arial"/>
          <w:b/>
          <w:sz w:val="22"/>
          <w:szCs w:val="22"/>
        </w:rPr>
        <w:t>Objektif</w:t>
      </w:r>
    </w:p>
    <w:p w:rsidR="00845209" w:rsidRPr="009451BA" w:rsidRDefault="003041F0" w:rsidP="009451BA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A7FA6">
        <w:rPr>
          <w:rFonts w:ascii="Arial Narrow" w:hAnsi="Arial Narrow" w:cs="Arial"/>
          <w:sz w:val="22"/>
          <w:szCs w:val="22"/>
        </w:rPr>
        <w:t>Men</w:t>
      </w:r>
      <w:r w:rsidR="00685B7C">
        <w:rPr>
          <w:rFonts w:ascii="Arial Narrow" w:hAnsi="Arial Narrow" w:cs="Arial"/>
          <w:sz w:val="22"/>
          <w:szCs w:val="22"/>
        </w:rPr>
        <w:t xml:space="preserve">cungkil bakat pelajar-pelajar </w:t>
      </w:r>
      <w:r w:rsidR="00A4251C">
        <w:rPr>
          <w:rFonts w:ascii="Arial Narrow" w:hAnsi="Arial Narrow" w:cs="Arial"/>
          <w:sz w:val="22"/>
          <w:szCs w:val="22"/>
        </w:rPr>
        <w:t xml:space="preserve">di dalam bidang penyelidikan dan pembangunan inovasi dan </w:t>
      </w:r>
      <w:r w:rsidR="009451BA">
        <w:rPr>
          <w:rFonts w:ascii="Arial Narrow" w:hAnsi="Arial Narrow" w:cs="Arial"/>
          <w:sz w:val="22"/>
          <w:szCs w:val="22"/>
        </w:rPr>
        <w:t xml:space="preserve"> </w:t>
      </w:r>
      <w:r w:rsidR="00A4251C" w:rsidRPr="009451BA">
        <w:rPr>
          <w:rFonts w:ascii="Arial Narrow" w:hAnsi="Arial Narrow" w:cs="Arial"/>
          <w:sz w:val="22"/>
          <w:szCs w:val="22"/>
        </w:rPr>
        <w:t>kejuruteraan</w:t>
      </w:r>
      <w:r w:rsidR="00B26A6C" w:rsidRPr="009451BA">
        <w:rPr>
          <w:rFonts w:ascii="Arial Narrow" w:hAnsi="Arial Narrow" w:cs="Arial"/>
          <w:sz w:val="22"/>
          <w:szCs w:val="22"/>
        </w:rPr>
        <w:t>.</w:t>
      </w:r>
    </w:p>
    <w:p w:rsidR="00A4251C" w:rsidRDefault="00A4251C" w:rsidP="009451BA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Memperkembangkan potensi dan kemahiran saintifik pelaja</w:t>
      </w:r>
      <w:r w:rsidR="00BD15E1">
        <w:rPr>
          <w:rFonts w:ascii="Arial Narrow" w:hAnsi="Arial Narrow" w:cs="Arial"/>
          <w:sz w:val="22"/>
          <w:szCs w:val="22"/>
        </w:rPr>
        <w:t>r di dalam membuat kajian</w:t>
      </w:r>
      <w:r>
        <w:rPr>
          <w:rFonts w:ascii="Arial Narrow" w:hAnsi="Arial Narrow" w:cs="Arial"/>
          <w:sz w:val="22"/>
          <w:szCs w:val="22"/>
        </w:rPr>
        <w:t xml:space="preserve"> terkini.</w:t>
      </w:r>
    </w:p>
    <w:p w:rsidR="00A4251C" w:rsidRPr="0092733E" w:rsidRDefault="00A4251C" w:rsidP="009451BA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fi-FI"/>
        </w:rPr>
      </w:pPr>
      <w:r w:rsidRPr="0092733E">
        <w:rPr>
          <w:rFonts w:ascii="Arial Narrow" w:hAnsi="Arial Narrow" w:cs="Arial"/>
          <w:sz w:val="22"/>
          <w:szCs w:val="22"/>
          <w:lang w:val="fi-FI"/>
        </w:rPr>
        <w:t>Meningkatkan kemahiran komunikasi dan kemahiran bersosial di kalangan pelajar.</w:t>
      </w:r>
    </w:p>
    <w:p w:rsidR="00A4251C" w:rsidRPr="0092733E" w:rsidRDefault="00A4251C" w:rsidP="009451BA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  <w:lang w:val="fi-FI"/>
        </w:rPr>
      </w:pPr>
      <w:r w:rsidRPr="0092733E">
        <w:rPr>
          <w:rFonts w:ascii="Arial Narrow" w:hAnsi="Arial Narrow" w:cs="Arial"/>
          <w:sz w:val="22"/>
          <w:szCs w:val="22"/>
          <w:lang w:val="fi-FI"/>
        </w:rPr>
        <w:t xml:space="preserve">Mengembangkan kebolehan dan penciptaan pelajar dalam bidang sains dan kejuruteraan ke </w:t>
      </w:r>
      <w:r w:rsidR="009451BA">
        <w:rPr>
          <w:rFonts w:ascii="Arial Narrow" w:hAnsi="Arial Narrow" w:cs="Arial"/>
          <w:sz w:val="22"/>
          <w:szCs w:val="22"/>
          <w:lang w:val="fi-FI"/>
        </w:rPr>
        <w:t xml:space="preserve">  </w:t>
      </w:r>
      <w:r w:rsidRPr="0092733E">
        <w:rPr>
          <w:rFonts w:ascii="Arial Narrow" w:hAnsi="Arial Narrow" w:cs="Arial"/>
          <w:sz w:val="22"/>
          <w:szCs w:val="22"/>
          <w:lang w:val="fi-FI"/>
        </w:rPr>
        <w:t>platform yang lebih tinggi.</w:t>
      </w:r>
    </w:p>
    <w:p w:rsidR="009451BA" w:rsidRDefault="009451BA" w:rsidP="009451BA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451BA">
        <w:rPr>
          <w:rFonts w:ascii="Arial Narrow" w:hAnsi="Arial Narrow" w:cs="Arial"/>
          <w:sz w:val="22"/>
          <w:szCs w:val="22"/>
        </w:rPr>
        <w:t>Mendorong keyakinan pelajar mengemukakan ciptaan dalam bidang sains dan teknologi berteraskan aktiviti yang berbentuk inventif, inovatif dan kreatif dalam bidang sains dan teknologi.</w:t>
      </w:r>
    </w:p>
    <w:p w:rsidR="00036F46" w:rsidRDefault="009451BA" w:rsidP="009451BA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F96E31" w:rsidRPr="00A4251C" w:rsidRDefault="00845209" w:rsidP="009451BA">
      <w:pPr>
        <w:numPr>
          <w:ilvl w:val="0"/>
          <w:numId w:val="23"/>
        </w:numPr>
        <w:spacing w:line="360" w:lineRule="auto"/>
        <w:rPr>
          <w:rFonts w:ascii="Arial Narrow" w:hAnsi="Arial Narrow" w:cs="Arial"/>
          <w:sz w:val="22"/>
          <w:szCs w:val="22"/>
        </w:rPr>
      </w:pPr>
      <w:r w:rsidRPr="00036F46">
        <w:rPr>
          <w:rFonts w:ascii="Arial Narrow" w:hAnsi="Arial Narrow" w:cs="Arial"/>
          <w:b/>
          <w:sz w:val="22"/>
          <w:szCs w:val="22"/>
        </w:rPr>
        <w:t>Penganjur</w:t>
      </w:r>
    </w:p>
    <w:p w:rsidR="00A15A43" w:rsidRDefault="009451BA" w:rsidP="00A94E25">
      <w:pPr>
        <w:spacing w:line="360" w:lineRule="auto"/>
        <w:ind w:left="36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Bahagian Kokurikulum dan Kesenian, Kementerian Pelajaran Malaysia dan tuan rumah Karnival Pendidikan Sains Teknologi Kebangsaan 2013</w:t>
      </w:r>
    </w:p>
    <w:p w:rsidR="009451BA" w:rsidRPr="004A7FA6" w:rsidRDefault="009451BA" w:rsidP="00A94E25">
      <w:pPr>
        <w:spacing w:line="360" w:lineRule="auto"/>
        <w:ind w:left="360"/>
        <w:rPr>
          <w:rFonts w:ascii="Arial Narrow" w:hAnsi="Arial Narrow" w:cs="Arial"/>
          <w:sz w:val="22"/>
          <w:szCs w:val="22"/>
        </w:rPr>
      </w:pPr>
    </w:p>
    <w:p w:rsidR="00A936BF" w:rsidRPr="004A7FA6" w:rsidRDefault="00DE59CC" w:rsidP="009451BA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Syarat- syarat P</w:t>
      </w:r>
      <w:r w:rsidR="00845209" w:rsidRPr="004A7FA6">
        <w:rPr>
          <w:rFonts w:ascii="Arial Narrow" w:hAnsi="Arial Narrow" w:cs="Arial"/>
          <w:b/>
          <w:sz w:val="22"/>
          <w:szCs w:val="22"/>
        </w:rPr>
        <w:t>enyertaan</w:t>
      </w:r>
    </w:p>
    <w:p w:rsidR="00845209" w:rsidRDefault="00845209" w:rsidP="009451BA">
      <w:pPr>
        <w:numPr>
          <w:ilvl w:val="1"/>
          <w:numId w:val="23"/>
        </w:numPr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</w:rPr>
      </w:pPr>
      <w:r w:rsidRPr="009451BA">
        <w:rPr>
          <w:rFonts w:ascii="Arial Narrow" w:hAnsi="Arial Narrow" w:cs="Arial"/>
          <w:sz w:val="22"/>
          <w:szCs w:val="22"/>
        </w:rPr>
        <w:t>Pertandingan ini terbuka kepada semua pelajar</w:t>
      </w:r>
      <w:r w:rsidR="009451BA" w:rsidRPr="009451BA">
        <w:rPr>
          <w:rFonts w:ascii="Arial Narrow" w:hAnsi="Arial Narrow" w:cs="Arial"/>
          <w:sz w:val="22"/>
          <w:szCs w:val="22"/>
        </w:rPr>
        <w:t xml:space="preserve"> Tingkatan 1 hingga Tingkatan 6 (tidak melebihi u</w:t>
      </w:r>
      <w:r w:rsidR="00D822F0">
        <w:rPr>
          <w:rFonts w:ascii="Arial Narrow" w:hAnsi="Arial Narrow" w:cs="Arial"/>
          <w:sz w:val="22"/>
          <w:szCs w:val="22"/>
        </w:rPr>
        <w:t>mur 21 tahun pada 2 Januari 2014</w:t>
      </w:r>
      <w:r w:rsidR="009451BA" w:rsidRPr="009451BA">
        <w:rPr>
          <w:rFonts w:ascii="Arial Narrow" w:hAnsi="Arial Narrow" w:cs="Arial"/>
          <w:sz w:val="22"/>
          <w:szCs w:val="22"/>
        </w:rPr>
        <w:t>)</w:t>
      </w:r>
      <w:r w:rsidRPr="009451BA">
        <w:rPr>
          <w:rFonts w:ascii="Arial Narrow" w:hAnsi="Arial Narrow" w:cs="Arial"/>
          <w:sz w:val="22"/>
          <w:szCs w:val="22"/>
        </w:rPr>
        <w:t xml:space="preserve"> </w:t>
      </w:r>
      <w:r w:rsidR="00554339">
        <w:rPr>
          <w:rFonts w:ascii="Arial Narrow" w:hAnsi="Arial Narrow" w:cs="Arial"/>
          <w:sz w:val="22"/>
          <w:szCs w:val="22"/>
        </w:rPr>
        <w:t>.</w:t>
      </w:r>
    </w:p>
    <w:p w:rsidR="00554339" w:rsidRPr="009451BA" w:rsidRDefault="00554339" w:rsidP="009451BA">
      <w:pPr>
        <w:numPr>
          <w:ilvl w:val="1"/>
          <w:numId w:val="23"/>
        </w:numPr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Kategori pertandingan terdiri daripada individu dan berkumpulan.</w:t>
      </w:r>
    </w:p>
    <w:p w:rsidR="00845209" w:rsidRPr="00554339" w:rsidRDefault="00554339" w:rsidP="009451BA">
      <w:pPr>
        <w:numPr>
          <w:ilvl w:val="1"/>
          <w:numId w:val="23"/>
        </w:numPr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Untuk kategori berkumpulan hendaklah terdiri daripada 3 orang ahli sahaja. </w:t>
      </w:r>
      <w:r w:rsidRPr="00554339">
        <w:rPr>
          <w:rFonts w:ascii="Arial Narrow" w:hAnsi="Arial Narrow" w:cs="Arial"/>
          <w:sz w:val="22"/>
          <w:szCs w:val="22"/>
        </w:rPr>
        <w:t xml:space="preserve">Setiap sekolah boleh menghantar maksimum 3 penyertaan. </w:t>
      </w:r>
    </w:p>
    <w:p w:rsidR="00554339" w:rsidRDefault="00554339" w:rsidP="009451BA">
      <w:pPr>
        <w:numPr>
          <w:ilvl w:val="1"/>
          <w:numId w:val="23"/>
        </w:numPr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Setiap penyertaan hendaklah disertakan dengan 3 salinan buku projek </w:t>
      </w:r>
      <w:r w:rsidR="0040145C">
        <w:rPr>
          <w:rFonts w:ascii="Arial Narrow" w:hAnsi="Arial Narrow" w:cs="Arial"/>
          <w:sz w:val="22"/>
          <w:szCs w:val="22"/>
        </w:rPr>
        <w:t>yang perlu diserahkan semasa pendaftaran pada hari pertandingan.</w:t>
      </w:r>
    </w:p>
    <w:p w:rsidR="00845209" w:rsidRPr="004A7FA6" w:rsidRDefault="00845209" w:rsidP="009451BA">
      <w:pPr>
        <w:numPr>
          <w:ilvl w:val="1"/>
          <w:numId w:val="23"/>
        </w:numPr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</w:rPr>
      </w:pPr>
      <w:r w:rsidRPr="004A7FA6">
        <w:rPr>
          <w:rFonts w:ascii="Arial Narrow" w:hAnsi="Arial Narrow" w:cs="Arial"/>
          <w:sz w:val="22"/>
          <w:szCs w:val="22"/>
        </w:rPr>
        <w:t>Bidang yang dipertandingkan ialah:</w:t>
      </w:r>
    </w:p>
    <w:p w:rsidR="00845209" w:rsidRPr="004A7FA6" w:rsidRDefault="00845209" w:rsidP="00DE59CC">
      <w:pPr>
        <w:numPr>
          <w:ilvl w:val="0"/>
          <w:numId w:val="3"/>
        </w:numPr>
        <w:tabs>
          <w:tab w:val="clear" w:pos="1800"/>
          <w:tab w:val="num" w:pos="1080"/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A7FA6">
        <w:rPr>
          <w:rFonts w:ascii="Arial Narrow" w:hAnsi="Arial Narrow" w:cs="Arial"/>
          <w:sz w:val="22"/>
          <w:szCs w:val="22"/>
        </w:rPr>
        <w:t>Kejuruteraan ( Rekacipta</w:t>
      </w:r>
      <w:r w:rsidR="00E776CA">
        <w:rPr>
          <w:rFonts w:ascii="Arial Narrow" w:hAnsi="Arial Narrow" w:cs="Arial"/>
          <w:sz w:val="22"/>
          <w:szCs w:val="22"/>
        </w:rPr>
        <w:t xml:space="preserve"> Kejuruteraan</w:t>
      </w:r>
      <w:r w:rsidRPr="004A7FA6">
        <w:rPr>
          <w:rFonts w:ascii="Arial Narrow" w:hAnsi="Arial Narrow" w:cs="Arial"/>
          <w:sz w:val="22"/>
          <w:szCs w:val="22"/>
        </w:rPr>
        <w:t>)</w:t>
      </w:r>
    </w:p>
    <w:p w:rsidR="00845209" w:rsidRDefault="00845209" w:rsidP="00DE59CC">
      <w:pPr>
        <w:numPr>
          <w:ilvl w:val="0"/>
          <w:numId w:val="3"/>
        </w:numPr>
        <w:tabs>
          <w:tab w:val="clear" w:pos="1800"/>
          <w:tab w:val="num" w:pos="1080"/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4A7FA6">
        <w:rPr>
          <w:rFonts w:ascii="Arial Narrow" w:hAnsi="Arial Narrow" w:cs="Arial"/>
          <w:sz w:val="22"/>
          <w:szCs w:val="22"/>
        </w:rPr>
        <w:t>Sains Tulen ( Fizik, Kimia, Biologi dan sebagainya) atau Sains Alam Sekitar (Inovasi)</w:t>
      </w:r>
    </w:p>
    <w:p w:rsidR="0040145C" w:rsidRDefault="0040145C" w:rsidP="00DE59CC">
      <w:pPr>
        <w:numPr>
          <w:ilvl w:val="0"/>
          <w:numId w:val="3"/>
        </w:numPr>
        <w:tabs>
          <w:tab w:val="clear" w:pos="1800"/>
          <w:tab w:val="num" w:pos="1080"/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Matematik</w:t>
      </w:r>
    </w:p>
    <w:p w:rsidR="0040145C" w:rsidRPr="0040145C" w:rsidRDefault="0040145C" w:rsidP="0040145C">
      <w:pPr>
        <w:numPr>
          <w:ilvl w:val="0"/>
          <w:numId w:val="3"/>
        </w:numPr>
        <w:tabs>
          <w:tab w:val="clear" w:pos="1800"/>
          <w:tab w:val="num" w:pos="1080"/>
          <w:tab w:val="num" w:pos="1440"/>
        </w:tabs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Sains Komputer</w:t>
      </w:r>
    </w:p>
    <w:p w:rsidR="00A936BF" w:rsidRDefault="001C69F3" w:rsidP="0040145C">
      <w:pPr>
        <w:numPr>
          <w:ilvl w:val="1"/>
          <w:numId w:val="23"/>
        </w:numPr>
        <w:tabs>
          <w:tab w:val="num" w:pos="1080"/>
        </w:tabs>
        <w:spacing w:line="360" w:lineRule="auto"/>
        <w:ind w:hanging="540"/>
        <w:jc w:val="both"/>
        <w:rPr>
          <w:rFonts w:ascii="Arial Narrow" w:hAnsi="Arial Narrow" w:cs="Arial"/>
          <w:sz w:val="22"/>
          <w:szCs w:val="22"/>
          <w:lang w:val="sv-SE"/>
        </w:rPr>
      </w:pPr>
      <w:r w:rsidRPr="0040145C">
        <w:rPr>
          <w:rFonts w:ascii="Arial Narrow" w:hAnsi="Arial Narrow" w:cs="Arial"/>
          <w:sz w:val="22"/>
          <w:szCs w:val="22"/>
          <w:lang w:val="sv-SE"/>
        </w:rPr>
        <w:t xml:space="preserve">Setiap kertas projek atau penyelidikan perlu disertakan bersama </w:t>
      </w:r>
      <w:r w:rsidR="0040145C" w:rsidRPr="0040145C">
        <w:rPr>
          <w:rFonts w:ascii="Arial Narrow" w:hAnsi="Arial Narrow" w:cs="Arial"/>
          <w:sz w:val="22"/>
          <w:szCs w:val="22"/>
          <w:lang w:val="sv-SE"/>
        </w:rPr>
        <w:t>3</w:t>
      </w:r>
      <w:r w:rsidRPr="0040145C">
        <w:rPr>
          <w:rFonts w:ascii="Arial Narrow" w:hAnsi="Arial Narrow" w:cs="Arial"/>
          <w:sz w:val="22"/>
          <w:szCs w:val="22"/>
          <w:lang w:val="sv-SE"/>
        </w:rPr>
        <w:t xml:space="preserve"> salinan abstrak</w:t>
      </w:r>
      <w:r w:rsidR="009956FE" w:rsidRPr="0040145C">
        <w:rPr>
          <w:rFonts w:ascii="Arial Narrow" w:hAnsi="Arial Narrow" w:cs="Arial"/>
          <w:sz w:val="22"/>
          <w:szCs w:val="22"/>
          <w:lang w:val="sv-SE"/>
        </w:rPr>
        <w:t xml:space="preserve">/ringkasan projek. </w:t>
      </w:r>
      <w:r w:rsidR="00DE59CC" w:rsidRPr="0040145C">
        <w:rPr>
          <w:rFonts w:ascii="Arial Narrow" w:hAnsi="Arial Narrow" w:cs="Arial"/>
          <w:sz w:val="22"/>
          <w:szCs w:val="22"/>
          <w:lang w:val="sv-SE"/>
        </w:rPr>
        <w:t xml:space="preserve"> </w:t>
      </w:r>
      <w:r w:rsidR="00B26A6C" w:rsidRPr="0040145C">
        <w:rPr>
          <w:rFonts w:ascii="Arial Narrow" w:hAnsi="Arial Narrow" w:cs="Arial"/>
          <w:sz w:val="22"/>
          <w:szCs w:val="22"/>
          <w:lang w:val="sv-SE"/>
        </w:rPr>
        <w:t>(</w:t>
      </w:r>
      <w:r w:rsidR="009956FE" w:rsidRPr="0040145C">
        <w:rPr>
          <w:rFonts w:ascii="Arial Narrow" w:hAnsi="Arial Narrow" w:cs="Arial"/>
          <w:sz w:val="22"/>
          <w:szCs w:val="22"/>
          <w:lang w:val="sv-SE"/>
        </w:rPr>
        <w:t>abstrak/</w:t>
      </w:r>
      <w:r w:rsidR="00B26A6C" w:rsidRPr="0040145C">
        <w:rPr>
          <w:rFonts w:ascii="Arial Narrow" w:hAnsi="Arial Narrow" w:cs="Arial"/>
          <w:sz w:val="22"/>
          <w:szCs w:val="22"/>
          <w:lang w:val="sv-SE"/>
        </w:rPr>
        <w:t>r</w:t>
      </w:r>
      <w:r w:rsidRPr="0040145C">
        <w:rPr>
          <w:rFonts w:ascii="Arial Narrow" w:hAnsi="Arial Narrow" w:cs="Arial"/>
          <w:sz w:val="22"/>
          <w:szCs w:val="22"/>
          <w:lang w:val="sv-SE"/>
        </w:rPr>
        <w:t>ingkasan projek tidak melebihi 250 patah perkataan</w:t>
      </w:r>
      <w:r w:rsidR="009956FE" w:rsidRPr="0040145C">
        <w:rPr>
          <w:rFonts w:ascii="Arial Narrow" w:hAnsi="Arial Narrow" w:cs="Arial"/>
          <w:sz w:val="22"/>
          <w:szCs w:val="22"/>
          <w:lang w:val="sv-SE"/>
        </w:rPr>
        <w:t xml:space="preserve"> dan hendaklah ditulis dalam satu muka surat kertas bersaiz A4</w:t>
      </w:r>
      <w:r w:rsidRPr="0040145C">
        <w:rPr>
          <w:rFonts w:ascii="Arial Narrow" w:hAnsi="Arial Narrow" w:cs="Arial"/>
          <w:sz w:val="22"/>
          <w:szCs w:val="22"/>
          <w:lang w:val="sv-SE"/>
        </w:rPr>
        <w:t xml:space="preserve">). </w:t>
      </w:r>
    </w:p>
    <w:p w:rsidR="00845209" w:rsidRPr="00DE59CC" w:rsidRDefault="001C69F3" w:rsidP="0040145C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DE59CC">
        <w:rPr>
          <w:rFonts w:ascii="Arial Narrow" w:hAnsi="Arial Narrow" w:cs="Arial"/>
          <w:b/>
          <w:sz w:val="22"/>
          <w:szCs w:val="22"/>
        </w:rPr>
        <w:lastRenderedPageBreak/>
        <w:t>Format Kertas Kajian</w:t>
      </w:r>
    </w:p>
    <w:p w:rsidR="003C5CBB" w:rsidRPr="004A7FA6" w:rsidRDefault="003C5CBB" w:rsidP="003C5CBB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6840"/>
      </w:tblGrid>
      <w:tr w:rsidR="007D0F10" w:rsidRPr="003273AE" w:rsidTr="003273AE">
        <w:tc>
          <w:tcPr>
            <w:tcW w:w="1440" w:type="dxa"/>
            <w:shd w:val="clear" w:color="auto" w:fill="E6E6E6"/>
            <w:vAlign w:val="center"/>
          </w:tcPr>
          <w:p w:rsidR="007D0F10" w:rsidRPr="003273AE" w:rsidRDefault="007D0F10" w:rsidP="003273A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b/>
                <w:sz w:val="22"/>
                <w:szCs w:val="22"/>
              </w:rPr>
              <w:t xml:space="preserve">Muka </w:t>
            </w:r>
            <w:smartTag w:uri="urn:schemas-microsoft-com:office:smarttags" w:element="place">
              <w:smartTag w:uri="urn:schemas-microsoft-com:office:smarttags" w:element="City">
                <w:r w:rsidRPr="003273AE">
                  <w:rPr>
                    <w:rFonts w:ascii="Arial Narrow" w:hAnsi="Arial Narrow" w:cs="Arial"/>
                    <w:b/>
                    <w:sz w:val="22"/>
                    <w:szCs w:val="22"/>
                  </w:rPr>
                  <w:t>surat</w:t>
                </w:r>
              </w:smartTag>
            </w:smartTag>
          </w:p>
        </w:tc>
        <w:tc>
          <w:tcPr>
            <w:tcW w:w="6840" w:type="dxa"/>
            <w:shd w:val="clear" w:color="auto" w:fill="E6E6E6"/>
            <w:vAlign w:val="center"/>
          </w:tcPr>
          <w:p w:rsidR="007D0F10" w:rsidRPr="003273AE" w:rsidRDefault="007D0F10" w:rsidP="003273AE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b/>
                <w:sz w:val="22"/>
                <w:szCs w:val="22"/>
              </w:rPr>
              <w:t>Penerangan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Tajuk Projek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C5CBB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 xml:space="preserve">Nyatakan tajuk projek, nama peserta, penasihat dan </w:t>
            </w:r>
            <w:r w:rsidR="0040145C">
              <w:rPr>
                <w:rFonts w:ascii="Arial Narrow" w:hAnsi="Arial Narrow" w:cs="Arial"/>
                <w:sz w:val="22"/>
                <w:szCs w:val="22"/>
              </w:rPr>
              <w:t xml:space="preserve">nama </w:t>
            </w:r>
            <w:r w:rsidRPr="003273AE">
              <w:rPr>
                <w:rFonts w:ascii="Arial Narrow" w:hAnsi="Arial Narrow" w:cs="Arial"/>
                <w:sz w:val="22"/>
                <w:szCs w:val="22"/>
              </w:rPr>
              <w:t>sekolah.</w:t>
            </w:r>
          </w:p>
          <w:p w:rsidR="00155D3F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Tajuk perlu ditulis dengan ‘bold’ dan mudah dibaca.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Abstrak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fi-FI"/>
              </w:rPr>
            </w:pPr>
          </w:p>
          <w:p w:rsidR="003C5CBB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fi-FI"/>
              </w:rPr>
              <w:t>Sinopsis kepada keseluruhan kajian.</w:t>
            </w:r>
          </w:p>
          <w:p w:rsidR="00155D3F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fi-FI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fi-FI"/>
              </w:rPr>
              <w:t xml:space="preserve">(nyatakan persoalan kajian, hipotesis, </w:t>
            </w:r>
            <w:r w:rsidR="008466FB" w:rsidRPr="003273AE">
              <w:rPr>
                <w:rFonts w:ascii="Arial Narrow" w:hAnsi="Arial Narrow" w:cs="Arial"/>
                <w:sz w:val="22"/>
                <w:szCs w:val="22"/>
                <w:lang w:val="fi-FI"/>
              </w:rPr>
              <w:t>methodologi</w:t>
            </w:r>
            <w:r w:rsidRPr="003273AE">
              <w:rPr>
                <w:rFonts w:ascii="Arial Narrow" w:hAnsi="Arial Narrow" w:cs="Arial"/>
                <w:sz w:val="22"/>
                <w:szCs w:val="22"/>
                <w:lang w:val="fi-FI"/>
              </w:rPr>
              <w:t>, hasil analisis dan kesimpulan kajian)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Isi kandungan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155D3F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 xml:space="preserve">Nyatakan bilangan dan nombor muka surat mengikut topik. </w:t>
            </w:r>
            <w:r w:rsidRPr="003273AE">
              <w:rPr>
                <w:rFonts w:ascii="Arial Narrow" w:hAnsi="Arial Narrow" w:cs="Arial"/>
                <w:sz w:val="22"/>
                <w:szCs w:val="22"/>
              </w:rPr>
              <w:t xml:space="preserve">Nombor muka </w:t>
            </w:r>
            <w:smartTag w:uri="urn:schemas-microsoft-com:office:smarttags" w:element="City">
              <w:r w:rsidRPr="003273AE">
                <w:rPr>
                  <w:rFonts w:ascii="Arial Narrow" w:hAnsi="Arial Narrow" w:cs="Arial"/>
                  <w:sz w:val="22"/>
                  <w:szCs w:val="22"/>
                </w:rPr>
                <w:t>surat</w:t>
              </w:r>
            </w:smartTag>
            <w:r w:rsidRPr="003273A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D0F10" w:rsidRPr="003273AE">
              <w:rPr>
                <w:rFonts w:ascii="Arial Narrow" w:hAnsi="Arial Narrow" w:cs="Arial"/>
                <w:sz w:val="22"/>
                <w:szCs w:val="22"/>
              </w:rPr>
              <w:t xml:space="preserve">diletakkan di bahagian tengah atau hujung kiri setiap muka </w:t>
            </w:r>
            <w:smartTag w:uri="urn:schemas-microsoft-com:office:smarttags" w:element="place">
              <w:smartTag w:uri="urn:schemas-microsoft-com:office:smarttags" w:element="City">
                <w:r w:rsidR="007D0F10" w:rsidRPr="003273AE">
                  <w:rPr>
                    <w:rFonts w:ascii="Arial Narrow" w:hAnsi="Arial Narrow" w:cs="Arial"/>
                    <w:sz w:val="22"/>
                    <w:szCs w:val="22"/>
                  </w:rPr>
                  <w:t>surat</w:t>
                </w:r>
              </w:smartTag>
            </w:smartTag>
            <w:r w:rsidR="007D0F10" w:rsidRPr="003273A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D0F10" w:rsidRPr="003273AE" w:rsidTr="003273AE">
        <w:tc>
          <w:tcPr>
            <w:tcW w:w="1440" w:type="dxa"/>
            <w:vAlign w:val="center"/>
          </w:tcPr>
          <w:p w:rsidR="007D0F10" w:rsidRPr="003273AE" w:rsidRDefault="007D0F10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Penghargaan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55D3F" w:rsidRPr="003273AE" w:rsidRDefault="007D0F10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Senaraikan penghargaan kepada semua pihak yang telah memberikan sumbangan kepakaran, bahan, sokongan dalam menjayakan projek</w:t>
            </w:r>
            <w:r w:rsidR="00155D3F" w:rsidRPr="003273A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Pengenalan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55D3F" w:rsidRPr="003273AE" w:rsidRDefault="00E3433D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 xml:space="preserve">Latar belakang projek, Penyataan </w:t>
            </w:r>
            <w:r w:rsidR="00155D3F" w:rsidRPr="003273AE">
              <w:rPr>
                <w:rFonts w:ascii="Arial Narrow" w:hAnsi="Arial Narrow" w:cs="Arial"/>
                <w:sz w:val="22"/>
                <w:szCs w:val="22"/>
              </w:rPr>
              <w:t>Masalah, Signifikan kajian, Takrif istilah, Skop dan batasan kajian, perbandingan kajian lepas.</w:t>
            </w:r>
          </w:p>
        </w:tc>
      </w:tr>
      <w:tr w:rsidR="007D0F10" w:rsidRPr="003273AE" w:rsidTr="003273AE">
        <w:tc>
          <w:tcPr>
            <w:tcW w:w="1440" w:type="dxa"/>
            <w:vAlign w:val="center"/>
          </w:tcPr>
          <w:p w:rsidR="007D0F10" w:rsidRPr="003273AE" w:rsidRDefault="007D0F10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Metodologi/ Proses Kajian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Rekabentuk dan perincian projek, Bahan dan alatan, rawatan atau prosedur yang dijalankan.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Eksperimen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155D3F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Terangkan metodologi yang digunakan untuk pengumpulan data dan pemerhatian. Sertaka</w:t>
            </w:r>
            <w:r w:rsidR="009956FE"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n</w:t>
            </w: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 xml:space="preserve"> foto atau lakaran bahan projek atau penyelidikan. Pengumpulan data projek atau penyelidikan boleh direkodkan dalam buku data.</w:t>
            </w:r>
          </w:p>
        </w:tc>
      </w:tr>
      <w:tr w:rsidR="00155D3F" w:rsidRPr="003273AE" w:rsidTr="003273AE">
        <w:tc>
          <w:tcPr>
            <w:tcW w:w="1440" w:type="dxa"/>
            <w:vAlign w:val="center"/>
          </w:tcPr>
          <w:p w:rsidR="00155D3F" w:rsidRPr="003273AE" w:rsidRDefault="00155D3F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Hasil kajian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Analisa data, tafsiran keputusan dan hasil dapatan.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3C5CBB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Perbincangan</w:t>
            </w:r>
            <w:r w:rsidR="00155D3F" w:rsidRPr="003273AE">
              <w:rPr>
                <w:rFonts w:ascii="Arial Narrow" w:hAnsi="Arial Narrow" w:cs="Arial"/>
                <w:sz w:val="22"/>
                <w:szCs w:val="22"/>
              </w:rPr>
              <w:t xml:space="preserve"> dan kesimpulan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C5CBB" w:rsidRPr="003273AE" w:rsidRDefault="003C5CBB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Bahagian terpenting. Keputusan dan perbincangan perlu dianalisis secara terperinci, membuat perbandingan antara nilai teori dan praktikal, semakan data di jurnal dan sebagainya. Bincangkan inovasi atau pembaharuan jika ada.</w:t>
            </w:r>
          </w:p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Ringkasan keputusan perlu spesifik.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155D3F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Rujukan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Senarai rujukan hendaklah disertakan jika melibatkan dokumentasi yang bukan hasil persendirian mengikut format tertentu.</w:t>
            </w:r>
          </w:p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  <w:lang w:val="sv-SE"/>
              </w:rPr>
              <w:t>(Contoh: Tajuk buku, artikel, jurnal, nama pengarang, tahun terbitan, muka surat, dsb.)</w:t>
            </w:r>
          </w:p>
        </w:tc>
      </w:tr>
      <w:tr w:rsidR="003C5CBB" w:rsidRPr="003273AE" w:rsidTr="003273AE">
        <w:tc>
          <w:tcPr>
            <w:tcW w:w="1440" w:type="dxa"/>
            <w:vAlign w:val="center"/>
          </w:tcPr>
          <w:p w:rsidR="003C5CBB" w:rsidRPr="003273AE" w:rsidRDefault="00155D3F" w:rsidP="003273A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Apendiks</w:t>
            </w:r>
          </w:p>
        </w:tc>
        <w:tc>
          <w:tcPr>
            <w:tcW w:w="6840" w:type="dxa"/>
          </w:tcPr>
          <w:p w:rsidR="00155D3F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C5CBB" w:rsidRPr="003273AE" w:rsidRDefault="00155D3F" w:rsidP="003273A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273AE">
              <w:rPr>
                <w:rFonts w:ascii="Arial Narrow" w:hAnsi="Arial Narrow" w:cs="Arial"/>
                <w:sz w:val="22"/>
                <w:szCs w:val="22"/>
              </w:rPr>
              <w:t>Rajah, Jadual, gambar, graf dan apa sahaja bahan visual yang diperolehi dari eksperimen yang dijalankan.</w:t>
            </w:r>
          </w:p>
        </w:tc>
      </w:tr>
    </w:tbl>
    <w:p w:rsidR="001C69F3" w:rsidRPr="004A7FA6" w:rsidRDefault="001C69F3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845209" w:rsidRDefault="00845209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5D2844" w:rsidRDefault="005D2844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5D2844" w:rsidRDefault="005D2844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40145C" w:rsidRDefault="0040145C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D822F0" w:rsidRDefault="00D822F0" w:rsidP="007D0F1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BD15E1" w:rsidRPr="004553C8" w:rsidRDefault="005D2844" w:rsidP="0040145C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5D2844">
        <w:rPr>
          <w:rFonts w:ascii="Arial Narrow" w:hAnsi="Arial Narrow" w:cs="Arial"/>
          <w:b/>
          <w:sz w:val="22"/>
          <w:szCs w:val="22"/>
        </w:rPr>
        <w:lastRenderedPageBreak/>
        <w:t>Format Bahan Pameran</w:t>
      </w:r>
      <w:r>
        <w:rPr>
          <w:rFonts w:ascii="Arial Narrow" w:hAnsi="Arial Narrow" w:cs="Arial"/>
          <w:b/>
          <w:sz w:val="22"/>
          <w:szCs w:val="22"/>
        </w:rPr>
        <w:t xml:space="preserve">                  </w:t>
      </w:r>
    </w:p>
    <w:p w:rsidR="000C7730" w:rsidRDefault="000C7730" w:rsidP="0040145C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2733E">
        <w:rPr>
          <w:rFonts w:ascii="Arial Narrow" w:hAnsi="Arial Narrow" w:cs="Arial"/>
          <w:sz w:val="22"/>
          <w:szCs w:val="22"/>
          <w:lang w:val="sv-SE"/>
        </w:rPr>
        <w:t>Semua projek atau penyelidikan hendaklah berfungsi pada hari pertandingan. Prototaip boleh dipamerkan</w:t>
      </w:r>
      <w:r w:rsidR="00A10120" w:rsidRPr="0092733E">
        <w:rPr>
          <w:rFonts w:ascii="Arial Narrow" w:hAnsi="Arial Narrow" w:cs="Arial"/>
          <w:sz w:val="22"/>
          <w:szCs w:val="22"/>
          <w:lang w:val="sv-SE"/>
        </w:rPr>
        <w:t xml:space="preserve"> sekiranya ianya boleh diletakkan di atas meja</w:t>
      </w:r>
      <w:r w:rsidRPr="0092733E">
        <w:rPr>
          <w:rFonts w:ascii="Arial Narrow" w:hAnsi="Arial Narrow" w:cs="Arial"/>
          <w:sz w:val="22"/>
          <w:szCs w:val="22"/>
          <w:lang w:val="sv-SE"/>
        </w:rPr>
        <w:t>. Saiz maksima bahan projek yang dipamerkan ialah 76 cm lebar, 122 cm panjang dan 274 cm tinggi. Projek yang melebihi saiz yang ditetapkan aka</w:t>
      </w:r>
      <w:r w:rsidR="005D2844" w:rsidRPr="0092733E">
        <w:rPr>
          <w:rFonts w:ascii="Arial Narrow" w:hAnsi="Arial Narrow" w:cs="Arial"/>
          <w:sz w:val="22"/>
          <w:szCs w:val="22"/>
          <w:lang w:val="sv-SE"/>
        </w:rPr>
        <w:t xml:space="preserve">n dibatalkan. </w:t>
      </w:r>
      <w:r w:rsidR="005D2844" w:rsidRPr="00354B5C">
        <w:rPr>
          <w:rFonts w:ascii="Arial Narrow" w:hAnsi="Arial Narrow" w:cs="Arial"/>
          <w:sz w:val="22"/>
          <w:szCs w:val="22"/>
        </w:rPr>
        <w:t xml:space="preserve">Saiz </w:t>
      </w:r>
      <w:r w:rsidR="00501A0E" w:rsidRPr="00354B5C">
        <w:rPr>
          <w:rFonts w:ascii="Arial Narrow" w:hAnsi="Arial Narrow" w:cs="Arial"/>
          <w:sz w:val="22"/>
          <w:szCs w:val="22"/>
        </w:rPr>
        <w:t xml:space="preserve"> dan peraturan penyelidikan </w:t>
      </w:r>
      <w:r w:rsidR="005D2844" w:rsidRPr="00354B5C">
        <w:rPr>
          <w:rFonts w:ascii="Arial Narrow" w:hAnsi="Arial Narrow" w:cs="Arial"/>
          <w:sz w:val="22"/>
          <w:szCs w:val="22"/>
        </w:rPr>
        <w:t>adalah m</w:t>
      </w:r>
      <w:r w:rsidR="00354B5C" w:rsidRPr="00354B5C">
        <w:rPr>
          <w:rFonts w:ascii="Arial Narrow" w:hAnsi="Arial Narrow" w:cs="Arial"/>
          <w:sz w:val="22"/>
          <w:szCs w:val="22"/>
        </w:rPr>
        <w:t>e</w:t>
      </w:r>
      <w:r w:rsidRPr="00354B5C">
        <w:rPr>
          <w:rFonts w:ascii="Arial Narrow" w:hAnsi="Arial Narrow" w:cs="Arial"/>
          <w:sz w:val="22"/>
          <w:szCs w:val="22"/>
        </w:rPr>
        <w:t xml:space="preserve">ngikut piawai peraturan </w:t>
      </w:r>
      <w:r w:rsidRPr="00354B5C">
        <w:rPr>
          <w:rFonts w:ascii="Arial Narrow" w:hAnsi="Arial Narrow" w:cs="Arial"/>
          <w:i/>
          <w:sz w:val="22"/>
          <w:szCs w:val="22"/>
        </w:rPr>
        <w:t>Internation</w:t>
      </w:r>
      <w:r w:rsidR="005D2844" w:rsidRPr="00354B5C">
        <w:rPr>
          <w:rFonts w:ascii="Arial Narrow" w:hAnsi="Arial Narrow" w:cs="Arial"/>
          <w:i/>
          <w:sz w:val="22"/>
          <w:szCs w:val="22"/>
        </w:rPr>
        <w:t>al Science and Engineering Fair (ISEF),</w:t>
      </w:r>
      <w:r w:rsidR="00BD15E1" w:rsidRPr="00354B5C">
        <w:rPr>
          <w:rFonts w:ascii="Arial Narrow" w:hAnsi="Arial Narrow" w:cs="Arial"/>
          <w:i/>
          <w:sz w:val="22"/>
          <w:szCs w:val="22"/>
        </w:rPr>
        <w:t xml:space="preserve"> </w:t>
      </w:r>
      <w:r w:rsidR="005D2844" w:rsidRPr="00354B5C">
        <w:rPr>
          <w:rFonts w:ascii="Arial Narrow" w:hAnsi="Arial Narrow" w:cs="Arial"/>
          <w:i/>
          <w:sz w:val="22"/>
          <w:szCs w:val="22"/>
        </w:rPr>
        <w:t>20</w:t>
      </w:r>
      <w:r w:rsidR="0040145C">
        <w:rPr>
          <w:rFonts w:ascii="Arial Narrow" w:hAnsi="Arial Narrow" w:cs="Arial"/>
          <w:i/>
          <w:sz w:val="22"/>
          <w:szCs w:val="22"/>
        </w:rPr>
        <w:t>12</w:t>
      </w:r>
      <w:r w:rsidR="005D2844" w:rsidRPr="00354B5C">
        <w:rPr>
          <w:rFonts w:ascii="Arial Narrow" w:hAnsi="Arial Narrow" w:cs="Arial"/>
          <w:i/>
          <w:sz w:val="22"/>
          <w:szCs w:val="22"/>
        </w:rPr>
        <w:t>.</w:t>
      </w:r>
      <w:r w:rsidR="005D2844" w:rsidRPr="00354B5C">
        <w:rPr>
          <w:rFonts w:ascii="Arial Narrow" w:hAnsi="Arial Narrow" w:cs="Arial"/>
          <w:sz w:val="22"/>
          <w:szCs w:val="22"/>
        </w:rPr>
        <w:t xml:space="preserve"> </w:t>
      </w:r>
      <w:r w:rsidR="009956FE">
        <w:rPr>
          <w:rFonts w:ascii="Arial Narrow" w:hAnsi="Arial Narrow" w:cs="Arial"/>
          <w:sz w:val="22"/>
          <w:szCs w:val="22"/>
        </w:rPr>
        <w:t xml:space="preserve"> </w:t>
      </w:r>
    </w:p>
    <w:p w:rsidR="009956FE" w:rsidRPr="00354B5C" w:rsidRDefault="009956FE" w:rsidP="0040145C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Te</w:t>
      </w:r>
      <w:r w:rsidR="00F478F4">
        <w:rPr>
          <w:rFonts w:ascii="Arial Narrow" w:hAnsi="Arial Narrow" w:cs="Arial"/>
          <w:sz w:val="22"/>
          <w:szCs w:val="22"/>
        </w:rPr>
        <w:t>mpat pameran/’booth’ pameran  akan</w:t>
      </w:r>
      <w:r w:rsidR="00C9098C">
        <w:rPr>
          <w:rFonts w:ascii="Arial Narrow" w:hAnsi="Arial Narrow" w:cs="Arial"/>
          <w:sz w:val="22"/>
          <w:szCs w:val="22"/>
        </w:rPr>
        <w:t xml:space="preserve"> disediakan </w:t>
      </w:r>
      <w:r w:rsidR="0040145C">
        <w:rPr>
          <w:rFonts w:ascii="Arial Narrow" w:hAnsi="Arial Narrow" w:cs="Arial"/>
          <w:sz w:val="22"/>
          <w:szCs w:val="22"/>
        </w:rPr>
        <w:t>oleh penganjur</w:t>
      </w:r>
      <w:r w:rsidR="00F478F4">
        <w:rPr>
          <w:rFonts w:ascii="Arial Narrow" w:hAnsi="Arial Narrow" w:cs="Arial"/>
          <w:sz w:val="22"/>
          <w:szCs w:val="22"/>
        </w:rPr>
        <w:t>.</w:t>
      </w:r>
      <w:r w:rsidR="00C9098C">
        <w:rPr>
          <w:rFonts w:ascii="Arial Narrow" w:hAnsi="Arial Narrow" w:cs="Arial"/>
          <w:sz w:val="22"/>
          <w:szCs w:val="22"/>
        </w:rPr>
        <w:t xml:space="preserve">  </w:t>
      </w:r>
      <w:r w:rsidR="00F478F4">
        <w:rPr>
          <w:rFonts w:ascii="Arial Narrow" w:hAnsi="Arial Narrow" w:cs="Arial"/>
          <w:sz w:val="22"/>
          <w:szCs w:val="22"/>
        </w:rPr>
        <w:t xml:space="preserve">(1 </w:t>
      </w:r>
      <w:r w:rsidR="00C9098C">
        <w:rPr>
          <w:rFonts w:ascii="Arial Narrow" w:hAnsi="Arial Narrow" w:cs="Arial"/>
          <w:sz w:val="22"/>
          <w:szCs w:val="22"/>
        </w:rPr>
        <w:t>M</w:t>
      </w:r>
      <w:r>
        <w:rPr>
          <w:rFonts w:ascii="Arial Narrow" w:hAnsi="Arial Narrow" w:cs="Arial"/>
          <w:sz w:val="22"/>
          <w:szCs w:val="22"/>
        </w:rPr>
        <w:t xml:space="preserve">eja </w:t>
      </w:r>
      <w:r w:rsidR="0040145C">
        <w:rPr>
          <w:rFonts w:ascii="Arial Narrow" w:hAnsi="Arial Narrow" w:cs="Arial"/>
          <w:sz w:val="22"/>
          <w:szCs w:val="22"/>
        </w:rPr>
        <w:t xml:space="preserve">dan </w:t>
      </w:r>
      <w:r w:rsidR="00F478F4">
        <w:rPr>
          <w:rFonts w:ascii="Arial Narrow" w:hAnsi="Arial Narrow" w:cs="Arial"/>
          <w:sz w:val="22"/>
          <w:szCs w:val="22"/>
        </w:rPr>
        <w:t xml:space="preserve">2 </w:t>
      </w:r>
      <w:r w:rsidR="0040145C">
        <w:rPr>
          <w:rFonts w:ascii="Arial Narrow" w:hAnsi="Arial Narrow" w:cs="Arial"/>
          <w:sz w:val="22"/>
          <w:szCs w:val="22"/>
        </w:rPr>
        <w:t>kerusi</w:t>
      </w:r>
      <w:r w:rsidR="00F478F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 disediakan</w:t>
      </w:r>
      <w:r w:rsidR="00F478F4">
        <w:rPr>
          <w:rFonts w:ascii="Arial Narrow" w:hAnsi="Arial Narrow" w:cs="Arial"/>
          <w:sz w:val="22"/>
          <w:szCs w:val="22"/>
        </w:rPr>
        <w:t>)</w:t>
      </w:r>
    </w:p>
    <w:p w:rsidR="000C7730" w:rsidRPr="0092733E" w:rsidRDefault="00796C18" w:rsidP="00796C18">
      <w:pPr>
        <w:numPr>
          <w:ilvl w:val="1"/>
          <w:numId w:val="23"/>
        </w:numPr>
        <w:tabs>
          <w:tab w:val="num" w:pos="1134"/>
        </w:tabs>
        <w:spacing w:line="360" w:lineRule="auto"/>
        <w:jc w:val="both"/>
        <w:rPr>
          <w:rFonts w:ascii="Arial Narrow" w:hAnsi="Arial Narrow" w:cs="Arial"/>
          <w:sz w:val="22"/>
          <w:szCs w:val="22"/>
          <w:lang w:val="sv-SE"/>
        </w:rPr>
      </w:pPr>
      <w:r>
        <w:rPr>
          <w:rFonts w:ascii="Arial Narrow" w:hAnsi="Arial Narrow" w:cs="Arial"/>
          <w:sz w:val="22"/>
          <w:szCs w:val="22"/>
          <w:lang w:val="sv-SE"/>
        </w:rPr>
        <w:t>Borang penyertaan</w:t>
      </w:r>
      <w:r w:rsidR="000C7730" w:rsidRPr="0092733E">
        <w:rPr>
          <w:rFonts w:ascii="Arial Narrow" w:hAnsi="Arial Narrow" w:cs="Arial"/>
          <w:sz w:val="22"/>
          <w:szCs w:val="22"/>
          <w:lang w:val="sv-SE"/>
        </w:rPr>
        <w:t xml:space="preserve"> </w:t>
      </w:r>
      <w:r w:rsidR="00BD15E1" w:rsidRPr="0092733E">
        <w:rPr>
          <w:rFonts w:ascii="Arial Narrow" w:hAnsi="Arial Narrow" w:cs="Arial"/>
          <w:sz w:val="22"/>
          <w:szCs w:val="22"/>
          <w:lang w:val="sv-SE"/>
        </w:rPr>
        <w:t xml:space="preserve">perlu dihantar kepada </w:t>
      </w:r>
      <w:r>
        <w:rPr>
          <w:rFonts w:ascii="Arial Narrow" w:hAnsi="Arial Narrow" w:cs="Arial"/>
          <w:sz w:val="22"/>
          <w:szCs w:val="22"/>
          <w:lang w:val="sv-SE"/>
        </w:rPr>
        <w:t>Unit Kokurikulum, Jabatan Pelajaran Negeri Sembilan</w:t>
      </w:r>
      <w:r w:rsidR="005D2844" w:rsidRPr="0092733E">
        <w:rPr>
          <w:rFonts w:ascii="Arial Narrow" w:hAnsi="Arial Narrow" w:cs="Arial"/>
          <w:sz w:val="22"/>
          <w:szCs w:val="22"/>
          <w:lang w:val="sv-SE"/>
        </w:rPr>
        <w:t xml:space="preserve"> selewat-lewatnya pada </w:t>
      </w:r>
      <w:r>
        <w:rPr>
          <w:rFonts w:ascii="Arial Narrow" w:hAnsi="Arial Narrow" w:cs="Arial"/>
          <w:b/>
          <w:sz w:val="22"/>
          <w:szCs w:val="22"/>
          <w:lang w:val="sv-SE"/>
        </w:rPr>
        <w:t>30 April 2013</w:t>
      </w:r>
    </w:p>
    <w:p w:rsidR="00185C63" w:rsidRDefault="00185C63" w:rsidP="00796C18">
      <w:pPr>
        <w:numPr>
          <w:ilvl w:val="1"/>
          <w:numId w:val="23"/>
        </w:numPr>
        <w:tabs>
          <w:tab w:val="num" w:pos="1134"/>
        </w:tabs>
        <w:spacing w:line="360" w:lineRule="auto"/>
        <w:jc w:val="both"/>
        <w:rPr>
          <w:rFonts w:ascii="Arial Narrow" w:hAnsi="Arial Narrow" w:cs="Arial"/>
          <w:sz w:val="22"/>
          <w:szCs w:val="22"/>
          <w:lang w:val="sv-SE"/>
        </w:rPr>
      </w:pPr>
      <w:r w:rsidRPr="0092733E">
        <w:rPr>
          <w:rFonts w:ascii="Arial Narrow" w:hAnsi="Arial Narrow" w:cs="Arial"/>
          <w:sz w:val="22"/>
          <w:szCs w:val="22"/>
          <w:lang w:val="sv-SE"/>
        </w:rPr>
        <w:t xml:space="preserve">Hadiah </w:t>
      </w:r>
      <w:r w:rsidR="00796C18">
        <w:rPr>
          <w:rFonts w:ascii="Arial Narrow" w:hAnsi="Arial Narrow" w:cs="Arial"/>
          <w:sz w:val="22"/>
          <w:szCs w:val="22"/>
          <w:lang w:val="sv-SE"/>
        </w:rPr>
        <w:t>disediakan mengikut kategori berikut :</w:t>
      </w:r>
    </w:p>
    <w:tbl>
      <w:tblPr>
        <w:tblW w:w="8160" w:type="dxa"/>
        <w:tblInd w:w="1031" w:type="dxa"/>
        <w:tblCellMar>
          <w:left w:w="0" w:type="dxa"/>
          <w:right w:w="0" w:type="dxa"/>
        </w:tblCellMar>
        <w:tblLook w:val="0420"/>
      </w:tblPr>
      <w:tblGrid>
        <w:gridCol w:w="3766"/>
        <w:gridCol w:w="4394"/>
      </w:tblGrid>
      <w:tr w:rsidR="00796C18" w:rsidTr="00796C18">
        <w:trPr>
          <w:trHeight w:val="420"/>
        </w:trPr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b/>
                <w:color w:val="000000"/>
                <w:kern w:val="24"/>
                <w:sz w:val="22"/>
                <w:szCs w:val="22"/>
                <w:lang w:val="en-US"/>
              </w:rPr>
              <w:t>KATEGORI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356A8C" w:rsidP="00356A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color w:val="000000"/>
                <w:kern w:val="24"/>
                <w:sz w:val="22"/>
                <w:szCs w:val="22"/>
                <w:lang w:val="en-US"/>
              </w:rPr>
              <w:t>- PEMBENTANGAN</w:t>
            </w:r>
            <w:r w:rsidR="00796C18" w:rsidRPr="00796C18">
              <w:rPr>
                <w:rFonts w:ascii="Century Gothic" w:hAnsi="Century Gothic" w:cs="Arial"/>
                <w:color w:val="000000"/>
                <w:kern w:val="24"/>
                <w:sz w:val="22"/>
                <w:szCs w:val="22"/>
                <w:lang w:val="en-US"/>
              </w:rPr>
              <w:t xml:space="preserve"> TERBAIK</w:t>
            </w:r>
          </w:p>
        </w:tc>
      </w:tr>
      <w:tr w:rsidR="00796C18" w:rsidTr="00796C18">
        <w:trPr>
          <w:trHeight w:val="375"/>
        </w:trPr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color w:val="000000"/>
                <w:kern w:val="24"/>
                <w:sz w:val="22"/>
                <w:szCs w:val="22"/>
                <w:lang w:val="en-US"/>
              </w:rPr>
              <w:t>- PAMERAN PROJEK TERBAIK</w:t>
            </w:r>
          </w:p>
        </w:tc>
      </w:tr>
      <w:tr w:rsidR="00796C18" w:rsidTr="00796C18">
        <w:trPr>
          <w:trHeight w:val="274"/>
        </w:trPr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b/>
                <w:color w:val="000000"/>
                <w:kern w:val="24"/>
                <w:sz w:val="22"/>
                <w:szCs w:val="22"/>
                <w:lang w:val="en-US"/>
              </w:rPr>
              <w:t>KESELURUHAN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C18" w:rsidTr="00796C18">
        <w:trPr>
          <w:trHeight w:val="395"/>
        </w:trPr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b/>
                <w:color w:val="000000"/>
                <w:kern w:val="24"/>
                <w:sz w:val="22"/>
                <w:szCs w:val="22"/>
                <w:lang w:val="en-US"/>
              </w:rPr>
              <w:t>INDIVIDU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color w:val="000000"/>
                <w:kern w:val="24"/>
                <w:sz w:val="22"/>
                <w:szCs w:val="22"/>
                <w:lang w:val="en-US"/>
              </w:rPr>
              <w:t>JOHAN, NAIB JOHAN &amp; KETIGA</w:t>
            </w:r>
          </w:p>
        </w:tc>
      </w:tr>
      <w:tr w:rsidR="00796C18" w:rsidTr="00796C18">
        <w:trPr>
          <w:trHeight w:val="19"/>
        </w:trPr>
        <w:tc>
          <w:tcPr>
            <w:tcW w:w="37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b/>
                <w:color w:val="000000"/>
                <w:kern w:val="24"/>
                <w:sz w:val="22"/>
                <w:szCs w:val="22"/>
                <w:lang w:val="en-US"/>
              </w:rPr>
              <w:t>KUMPULAN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796C18" w:rsidRPr="00796C18" w:rsidRDefault="00796C18" w:rsidP="00796C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796C18">
              <w:rPr>
                <w:rFonts w:ascii="Century Gothic" w:hAnsi="Century Gothic" w:cs="Arial"/>
                <w:color w:val="000000"/>
                <w:kern w:val="24"/>
                <w:sz w:val="22"/>
                <w:szCs w:val="22"/>
                <w:lang w:val="en-US"/>
              </w:rPr>
              <w:t>JOHAN, NAIB JOHAN &amp; KETIGA</w:t>
            </w:r>
          </w:p>
        </w:tc>
      </w:tr>
    </w:tbl>
    <w:p w:rsidR="00796C18" w:rsidRPr="0092733E" w:rsidRDefault="00796C18" w:rsidP="00796C18">
      <w:pPr>
        <w:spacing w:line="360" w:lineRule="auto"/>
        <w:ind w:left="1080"/>
        <w:jc w:val="both"/>
        <w:rPr>
          <w:rFonts w:ascii="Arial Narrow" w:hAnsi="Arial Narrow" w:cs="Arial"/>
          <w:sz w:val="22"/>
          <w:szCs w:val="22"/>
          <w:lang w:val="sv-SE"/>
        </w:rPr>
      </w:pPr>
    </w:p>
    <w:p w:rsidR="00796C18" w:rsidRDefault="00796C18" w:rsidP="00796C18">
      <w:pPr>
        <w:numPr>
          <w:ilvl w:val="1"/>
          <w:numId w:val="23"/>
        </w:numPr>
        <w:tabs>
          <w:tab w:val="num" w:pos="1276"/>
        </w:tabs>
        <w:spacing w:line="360" w:lineRule="auto"/>
        <w:ind w:left="1276" w:hanging="5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Pelajar-pelajar digalakkan mendapat nasihat daripada saintis atau pakar penyelidik tentang projek-projek yang hendak dijalankan. Peserta juga digalakkan menjalan eksperimen di makmal sains di institusi penyelidikan atau IPTA/IPTS. Walau bagaimanapun, urusan kebenaran penggunaan makmal tersebut perlu diuruskan oleh pihak sekolah sendiri.</w:t>
      </w:r>
    </w:p>
    <w:p w:rsidR="00165726" w:rsidRDefault="00165726" w:rsidP="00796C18">
      <w:pPr>
        <w:numPr>
          <w:ilvl w:val="1"/>
          <w:numId w:val="23"/>
        </w:numPr>
        <w:tabs>
          <w:tab w:val="num" w:pos="1276"/>
        </w:tabs>
        <w:spacing w:line="360" w:lineRule="auto"/>
        <w:ind w:left="1276" w:hanging="5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Peserta mestilah berkemampuan memberi penerangan dan demontrasi dengan jelas mengenai projek/kajian yang telah dijalankan. </w:t>
      </w:r>
    </w:p>
    <w:p w:rsidR="00356A8C" w:rsidRDefault="00356A8C" w:rsidP="00796C18">
      <w:pPr>
        <w:numPr>
          <w:ilvl w:val="1"/>
          <w:numId w:val="23"/>
        </w:numPr>
        <w:tabs>
          <w:tab w:val="num" w:pos="1276"/>
        </w:tabs>
        <w:spacing w:line="360" w:lineRule="auto"/>
        <w:ind w:left="1276" w:hanging="5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Satu sesi pembentangan projek akan diadakan dimana pelajar perlu menerangkan projek  yang dijalankan dengan menggunakan “Powerpoint Presentation”. Masa yang diperuntukan adalah selama 5-7 minit.</w:t>
      </w:r>
    </w:p>
    <w:p w:rsidR="00165726" w:rsidRDefault="00165726" w:rsidP="00796C18">
      <w:pPr>
        <w:numPr>
          <w:ilvl w:val="1"/>
          <w:numId w:val="23"/>
        </w:numPr>
        <w:tabs>
          <w:tab w:val="num" w:pos="1276"/>
        </w:tabs>
        <w:spacing w:line="360" w:lineRule="auto"/>
        <w:ind w:left="1276" w:hanging="55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Sayugia dimaklumkan bahawa pemenang-pemenang utama di pertandingan ini tidak semestinya dipilih untuk mewakili negeri ke peringkat kebangsaan.</w:t>
      </w:r>
    </w:p>
    <w:p w:rsidR="00165726" w:rsidRDefault="00165726" w:rsidP="0016572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65726" w:rsidRDefault="00165726" w:rsidP="0016572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65726" w:rsidRDefault="00165726" w:rsidP="0016572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478F4" w:rsidRDefault="00F478F4" w:rsidP="0016572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65726" w:rsidRDefault="00165726" w:rsidP="0016572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65726" w:rsidRPr="00310A80" w:rsidRDefault="00165726" w:rsidP="00165726">
      <w:pPr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310A80">
        <w:rPr>
          <w:rFonts w:ascii="Arial Narrow" w:hAnsi="Arial Narrow" w:cs="Arial"/>
          <w:b/>
          <w:sz w:val="22"/>
          <w:szCs w:val="22"/>
        </w:rPr>
        <w:lastRenderedPageBreak/>
        <w:t>PERATURAN PEMARKAHAN</w:t>
      </w:r>
    </w:p>
    <w:p w:rsidR="00165726" w:rsidRDefault="00165726" w:rsidP="00165726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Secara ringkas garis panduan kriteria penghakiman yang diterima pakai untuk pertandingan adalah  </w:t>
      </w:r>
      <w:r w:rsidRPr="00165726">
        <w:rPr>
          <w:rFonts w:ascii="Arial Narrow" w:hAnsi="Arial Narrow" w:cs="Arial"/>
          <w:sz w:val="22"/>
          <w:szCs w:val="22"/>
        </w:rPr>
        <w:t>seperti berikut :</w:t>
      </w:r>
    </w:p>
    <w:tbl>
      <w:tblPr>
        <w:tblW w:w="8723" w:type="dxa"/>
        <w:tblInd w:w="610" w:type="dxa"/>
        <w:tblCellMar>
          <w:left w:w="0" w:type="dxa"/>
          <w:right w:w="0" w:type="dxa"/>
        </w:tblCellMar>
        <w:tblLook w:val="0420"/>
      </w:tblPr>
      <w:tblGrid>
        <w:gridCol w:w="3362"/>
        <w:gridCol w:w="1875"/>
        <w:gridCol w:w="3486"/>
      </w:tblGrid>
      <w:tr w:rsidR="00165726" w:rsidRPr="00165726" w:rsidTr="00165726">
        <w:trPr>
          <w:trHeight w:val="322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b/>
                <w:bCs/>
                <w:color w:val="FFFFFF"/>
                <w:kern w:val="24"/>
                <w:lang w:val="en-US"/>
              </w:rPr>
              <w:t>PERKARA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b/>
                <w:bCs/>
                <w:color w:val="FFFFFF"/>
                <w:kern w:val="24"/>
                <w:lang w:val="en-US"/>
              </w:rPr>
              <w:t>INDIVIDU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b/>
                <w:bCs/>
                <w:color w:val="FFFFFF"/>
                <w:kern w:val="24"/>
                <w:lang w:val="en-US"/>
              </w:rPr>
              <w:t>KUMPULAN</w:t>
            </w:r>
          </w:p>
        </w:tc>
      </w:tr>
      <w:tr w:rsidR="00165726" w:rsidRPr="00165726" w:rsidTr="00165726">
        <w:trPr>
          <w:trHeight w:val="390"/>
        </w:trPr>
        <w:tc>
          <w:tcPr>
            <w:tcW w:w="33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Kreativiti/keaslian</w:t>
            </w:r>
          </w:p>
        </w:tc>
        <w:tc>
          <w:tcPr>
            <w:tcW w:w="18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30</w:t>
            </w:r>
          </w:p>
        </w:tc>
        <w:tc>
          <w:tcPr>
            <w:tcW w:w="34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25</w:t>
            </w:r>
          </w:p>
        </w:tc>
      </w:tr>
      <w:tr w:rsidR="00165726" w:rsidRPr="00165726" w:rsidTr="00165726">
        <w:trPr>
          <w:trHeight w:val="946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Pemikiran saintifik/matlamat kejuruteraan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30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25</w:t>
            </w:r>
          </w:p>
        </w:tc>
      </w:tr>
      <w:tr w:rsidR="00165726" w:rsidRPr="00165726" w:rsidTr="00165726">
        <w:trPr>
          <w:trHeight w:val="267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Kemahiran saintifik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12</w:t>
            </w:r>
          </w:p>
        </w:tc>
      </w:tr>
      <w:tr w:rsidR="00165726" w:rsidRPr="00165726" w:rsidTr="00165726">
        <w:trPr>
          <w:trHeight w:val="261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 xml:space="preserve">Ketelitian 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15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12</w:t>
            </w:r>
          </w:p>
        </w:tc>
      </w:tr>
      <w:tr w:rsidR="00165726" w:rsidRPr="00165726" w:rsidTr="00165726">
        <w:trPr>
          <w:trHeight w:val="350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 xml:space="preserve">Kejelasan 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10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10</w:t>
            </w:r>
          </w:p>
        </w:tc>
      </w:tr>
      <w:tr w:rsidR="00165726" w:rsidRPr="00165726" w:rsidTr="00165726">
        <w:trPr>
          <w:trHeight w:val="584"/>
        </w:trPr>
        <w:tc>
          <w:tcPr>
            <w:tcW w:w="33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 xml:space="preserve">Kerja berpasukan </w:t>
            </w:r>
          </w:p>
        </w:tc>
        <w:tc>
          <w:tcPr>
            <w:tcW w:w="18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-</w:t>
            </w:r>
          </w:p>
        </w:tc>
        <w:tc>
          <w:tcPr>
            <w:tcW w:w="3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72" w:type="dxa"/>
              <w:left w:w="119" w:type="dxa"/>
              <w:bottom w:w="72" w:type="dxa"/>
              <w:right w:w="119" w:type="dxa"/>
            </w:tcMar>
            <w:hideMark/>
          </w:tcPr>
          <w:p w:rsidR="00165726" w:rsidRPr="00165726" w:rsidRDefault="001657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65726">
              <w:rPr>
                <w:rFonts w:ascii="Century Gothic" w:hAnsi="Century Gothic" w:cs="Arial"/>
                <w:color w:val="000000"/>
                <w:kern w:val="24"/>
                <w:lang w:val="en-US"/>
              </w:rPr>
              <w:t>16</w:t>
            </w:r>
          </w:p>
        </w:tc>
      </w:tr>
    </w:tbl>
    <w:p w:rsidR="00165726" w:rsidRDefault="00165726" w:rsidP="00165726">
      <w:pPr>
        <w:spacing w:line="360" w:lineRule="auto"/>
        <w:jc w:val="both"/>
        <w:rPr>
          <w:rFonts w:ascii="Arial Narrow" w:hAnsi="Arial Narrow" w:cs="Arial"/>
        </w:rPr>
      </w:pPr>
    </w:p>
    <w:p w:rsidR="00165726" w:rsidRDefault="00165726" w:rsidP="00165726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165726">
        <w:rPr>
          <w:rFonts w:ascii="Arial Narrow" w:hAnsi="Arial Narrow" w:cs="Arial"/>
          <w:sz w:val="22"/>
          <w:szCs w:val="22"/>
        </w:rPr>
        <w:t>Semua keputusan panel hakim adalah muktamad dan sebarang rayuan tidak akan dilayan.</w:t>
      </w:r>
    </w:p>
    <w:p w:rsidR="00310A80" w:rsidRPr="00310A80" w:rsidRDefault="00310A80" w:rsidP="00310A80">
      <w:pPr>
        <w:numPr>
          <w:ilvl w:val="1"/>
          <w:numId w:val="23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310A80">
        <w:rPr>
          <w:rFonts w:ascii="Arial Narrow" w:hAnsi="Arial Narrow" w:cs="Arial"/>
          <w:sz w:val="22"/>
          <w:szCs w:val="22"/>
        </w:rPr>
        <w:t>Keaslian laporan kajian projek, inovasi dan reka ciptaan adalah dititik beratkan dan segala unsur plagiat akan membatalkan penyertaan.</w:t>
      </w:r>
    </w:p>
    <w:p w:rsidR="004553C8" w:rsidRPr="00AA3356" w:rsidRDefault="004553C8" w:rsidP="004553C8">
      <w:pPr>
        <w:spacing w:line="360" w:lineRule="auto"/>
        <w:ind w:left="720"/>
        <w:jc w:val="both"/>
        <w:rPr>
          <w:rFonts w:ascii="Arial Narrow" w:hAnsi="Arial Narrow" w:cs="Arial"/>
          <w:sz w:val="22"/>
          <w:szCs w:val="22"/>
        </w:rPr>
      </w:pPr>
    </w:p>
    <w:p w:rsidR="00971221" w:rsidRPr="00C706E7" w:rsidRDefault="00310A80" w:rsidP="00971221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7</w:t>
      </w:r>
      <w:r w:rsidR="00971221" w:rsidRPr="00C706E7">
        <w:rPr>
          <w:rFonts w:ascii="Arial Narrow" w:hAnsi="Arial Narrow" w:cs="Arial"/>
          <w:b/>
          <w:sz w:val="22"/>
          <w:szCs w:val="22"/>
        </w:rPr>
        <w:t xml:space="preserve">.0 </w:t>
      </w:r>
      <w:r w:rsidR="00971221">
        <w:rPr>
          <w:rFonts w:ascii="Arial Narrow" w:hAnsi="Arial Narrow" w:cs="Arial"/>
          <w:b/>
          <w:sz w:val="22"/>
          <w:szCs w:val="22"/>
        </w:rPr>
        <w:t xml:space="preserve">      </w:t>
      </w:r>
      <w:r w:rsidR="00971221" w:rsidRPr="00C706E7">
        <w:rPr>
          <w:rFonts w:ascii="Arial Narrow" w:hAnsi="Arial Narrow" w:cs="Arial"/>
          <w:b/>
          <w:sz w:val="22"/>
          <w:szCs w:val="22"/>
        </w:rPr>
        <w:t>Hakim</w:t>
      </w:r>
    </w:p>
    <w:p w:rsidR="00971221" w:rsidRDefault="00971221" w:rsidP="0097122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Hakim akan dipilih dari 3 sektor utama iaitu;</w:t>
      </w:r>
    </w:p>
    <w:p w:rsidR="00971221" w:rsidRDefault="00971221" w:rsidP="00971221">
      <w:pPr>
        <w:numPr>
          <w:ilvl w:val="0"/>
          <w:numId w:val="15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hakim dari Kementerian Pelajaran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 Narrow" w:hAnsi="Arial Narrow" w:cs="Arial"/>
              <w:sz w:val="22"/>
              <w:szCs w:val="22"/>
            </w:rPr>
            <w:t>Malaysia</w:t>
          </w:r>
        </w:smartTag>
      </w:smartTag>
    </w:p>
    <w:p w:rsidR="00971221" w:rsidRDefault="00971221" w:rsidP="00971221">
      <w:pPr>
        <w:numPr>
          <w:ilvl w:val="0"/>
          <w:numId w:val="15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hakim dari sektor industri/ perkilangan/ pembinaan</w:t>
      </w:r>
    </w:p>
    <w:p w:rsidR="00971221" w:rsidRDefault="00971221" w:rsidP="00971221">
      <w:pPr>
        <w:numPr>
          <w:ilvl w:val="0"/>
          <w:numId w:val="15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hakim dari IPTA/ IPTS</w:t>
      </w:r>
    </w:p>
    <w:p w:rsidR="008E75B3" w:rsidRDefault="008E75B3" w:rsidP="00405D52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F96E31" w:rsidRDefault="00F96E31" w:rsidP="00310A80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F96E31" w:rsidSect="00BD15E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FE" w:rsidRDefault="00A372FE">
      <w:r>
        <w:separator/>
      </w:r>
    </w:p>
  </w:endnote>
  <w:endnote w:type="continuationSeparator" w:id="0">
    <w:p w:rsidR="00A372FE" w:rsidRDefault="00A37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B" w:rsidRDefault="00FB7C6B" w:rsidP="00AE6F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C6B" w:rsidRDefault="00FB7C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C6B" w:rsidRPr="00FB7C6B" w:rsidRDefault="00FB7C6B" w:rsidP="00FB7C6B">
    <w:pPr>
      <w:pStyle w:val="Footer"/>
      <w:framePr w:w="181" w:wrap="around" w:vAnchor="text" w:hAnchor="page" w:x="5941" w:y="140"/>
      <w:rPr>
        <w:rStyle w:val="PageNumber"/>
        <w:rFonts w:ascii="Arial" w:hAnsi="Arial" w:cs="Arial"/>
        <w:sz w:val="18"/>
        <w:szCs w:val="18"/>
      </w:rPr>
    </w:pPr>
    <w:r w:rsidRPr="00FB7C6B">
      <w:rPr>
        <w:rStyle w:val="PageNumber"/>
        <w:rFonts w:ascii="Arial" w:hAnsi="Arial" w:cs="Arial"/>
        <w:sz w:val="18"/>
        <w:szCs w:val="18"/>
      </w:rPr>
      <w:fldChar w:fldCharType="begin"/>
    </w:r>
    <w:r w:rsidRPr="00FB7C6B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B7C6B">
      <w:rPr>
        <w:rStyle w:val="PageNumber"/>
        <w:rFonts w:ascii="Arial" w:hAnsi="Arial" w:cs="Arial"/>
        <w:sz w:val="18"/>
        <w:szCs w:val="18"/>
      </w:rPr>
      <w:fldChar w:fldCharType="separate"/>
    </w:r>
    <w:r w:rsidR="00F65E39">
      <w:rPr>
        <w:rStyle w:val="PageNumber"/>
        <w:rFonts w:ascii="Arial" w:hAnsi="Arial" w:cs="Arial"/>
        <w:noProof/>
        <w:sz w:val="18"/>
        <w:szCs w:val="18"/>
      </w:rPr>
      <w:t>1</w:t>
    </w:r>
    <w:r w:rsidRPr="00FB7C6B">
      <w:rPr>
        <w:rStyle w:val="PageNumber"/>
        <w:rFonts w:ascii="Arial" w:hAnsi="Arial" w:cs="Arial"/>
        <w:sz w:val="18"/>
        <w:szCs w:val="18"/>
      </w:rPr>
      <w:fldChar w:fldCharType="end"/>
    </w:r>
  </w:p>
  <w:p w:rsidR="004553C8" w:rsidRPr="00BD15E1" w:rsidRDefault="004553C8" w:rsidP="00BD15E1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FE" w:rsidRDefault="00A372FE">
      <w:r>
        <w:separator/>
      </w:r>
    </w:p>
  </w:footnote>
  <w:footnote w:type="continuationSeparator" w:id="0">
    <w:p w:rsidR="00A372FE" w:rsidRDefault="00A37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CA" w:rsidRDefault="00E776CA" w:rsidP="00A65B2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6CA" w:rsidRDefault="00E776CA" w:rsidP="00E776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CA" w:rsidRPr="00E776CA" w:rsidRDefault="00E776CA" w:rsidP="00A65B2F">
    <w:pPr>
      <w:pStyle w:val="Header"/>
      <w:framePr w:wrap="around" w:vAnchor="text" w:hAnchor="margin" w:xAlign="right" w:y="1"/>
      <w:rPr>
        <w:rStyle w:val="PageNumber"/>
        <w:rFonts w:ascii="Arial Narrow" w:hAnsi="Arial Narrow"/>
        <w:sz w:val="18"/>
        <w:szCs w:val="18"/>
      </w:rPr>
    </w:pPr>
  </w:p>
  <w:p w:rsidR="004553C8" w:rsidRPr="00E776CA" w:rsidRDefault="004553C8" w:rsidP="00E776CA">
    <w:pPr>
      <w:pStyle w:val="Header"/>
      <w:ind w:right="360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084D"/>
    <w:multiLevelType w:val="hybridMultilevel"/>
    <w:tmpl w:val="691E42D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01EAF"/>
    <w:multiLevelType w:val="multilevel"/>
    <w:tmpl w:val="90883ED8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10A1231D"/>
    <w:multiLevelType w:val="hybridMultilevel"/>
    <w:tmpl w:val="AF0CF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BC2CBE"/>
    <w:multiLevelType w:val="multilevel"/>
    <w:tmpl w:val="DE6696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AED31A5"/>
    <w:multiLevelType w:val="multilevel"/>
    <w:tmpl w:val="80BC0D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EA97F1A"/>
    <w:multiLevelType w:val="hybridMultilevel"/>
    <w:tmpl w:val="5DB41E74"/>
    <w:lvl w:ilvl="0" w:tplc="7082B7A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5348F"/>
    <w:multiLevelType w:val="hybridMultilevel"/>
    <w:tmpl w:val="95FC500C"/>
    <w:lvl w:ilvl="0" w:tplc="BC5465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28C5"/>
    <w:multiLevelType w:val="hybridMultilevel"/>
    <w:tmpl w:val="20CECB48"/>
    <w:lvl w:ilvl="0" w:tplc="F6D0363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C31DB7"/>
    <w:multiLevelType w:val="multilevel"/>
    <w:tmpl w:val="7C8C9EAE"/>
    <w:lvl w:ilvl="0">
      <w:start w:val="3"/>
      <w:numFmt w:val="decimal"/>
      <w:lvlText w:val="%1.0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B306E0C"/>
    <w:multiLevelType w:val="hybridMultilevel"/>
    <w:tmpl w:val="99865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A3D95"/>
    <w:multiLevelType w:val="multilevel"/>
    <w:tmpl w:val="F1C0D60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78216F8"/>
    <w:multiLevelType w:val="hybridMultilevel"/>
    <w:tmpl w:val="19786C88"/>
    <w:lvl w:ilvl="0" w:tplc="2178717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D1389"/>
    <w:multiLevelType w:val="multilevel"/>
    <w:tmpl w:val="E320013C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13">
    <w:nsid w:val="5B725C59"/>
    <w:multiLevelType w:val="hybridMultilevel"/>
    <w:tmpl w:val="2B023028"/>
    <w:lvl w:ilvl="0" w:tplc="087E4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602F0C"/>
    <w:multiLevelType w:val="multilevel"/>
    <w:tmpl w:val="97F4DF9E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>
    <w:nsid w:val="63D3717B"/>
    <w:multiLevelType w:val="hybridMultilevel"/>
    <w:tmpl w:val="37F4D8F4"/>
    <w:lvl w:ilvl="0" w:tplc="18446810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66A494C">
      <w:start w:val="1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9440E834">
      <w:start w:val="12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D33A63"/>
    <w:multiLevelType w:val="multilevel"/>
    <w:tmpl w:val="68C018C0"/>
    <w:lvl w:ilvl="0">
      <w:start w:val="14"/>
      <w:numFmt w:val="decimal"/>
      <w:lvlText w:val="%1.0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15"/>
        </w:tabs>
        <w:ind w:left="361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65233B01"/>
    <w:multiLevelType w:val="multilevel"/>
    <w:tmpl w:val="97F4DF9E"/>
    <w:lvl w:ilvl="0">
      <w:start w:val="8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6AA348C2"/>
    <w:multiLevelType w:val="multilevel"/>
    <w:tmpl w:val="F1AE30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>
    <w:nsid w:val="6BC359A5"/>
    <w:multiLevelType w:val="hybridMultilevel"/>
    <w:tmpl w:val="80D61AFC"/>
    <w:lvl w:ilvl="0" w:tplc="0CBE38F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FD1236"/>
    <w:multiLevelType w:val="multilevel"/>
    <w:tmpl w:val="D0F6F7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762D5FF9"/>
    <w:multiLevelType w:val="hybridMultilevel"/>
    <w:tmpl w:val="E91ED6AC"/>
    <w:lvl w:ilvl="0" w:tplc="F7A2A16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307E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158F3"/>
    <w:multiLevelType w:val="hybridMultilevel"/>
    <w:tmpl w:val="ADAC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5"/>
  </w:num>
  <w:num w:numId="4">
    <w:abstractNumId w:val="21"/>
  </w:num>
  <w:num w:numId="5">
    <w:abstractNumId w:val="10"/>
  </w:num>
  <w:num w:numId="6">
    <w:abstractNumId w:val="8"/>
  </w:num>
  <w:num w:numId="7">
    <w:abstractNumId w:val="20"/>
  </w:num>
  <w:num w:numId="8">
    <w:abstractNumId w:val="1"/>
  </w:num>
  <w:num w:numId="9">
    <w:abstractNumId w:val="18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14"/>
  </w:num>
  <w:num w:numId="15">
    <w:abstractNumId w:val="7"/>
  </w:num>
  <w:num w:numId="16">
    <w:abstractNumId w:val="19"/>
  </w:num>
  <w:num w:numId="17">
    <w:abstractNumId w:val="13"/>
  </w:num>
  <w:num w:numId="18">
    <w:abstractNumId w:val="11"/>
  </w:num>
  <w:num w:numId="19">
    <w:abstractNumId w:val="5"/>
  </w:num>
  <w:num w:numId="20">
    <w:abstractNumId w:val="6"/>
  </w:num>
  <w:num w:numId="21">
    <w:abstractNumId w:val="16"/>
  </w:num>
  <w:num w:numId="22">
    <w:abstractNumId w:val="0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65D"/>
    <w:rsid w:val="00036F46"/>
    <w:rsid w:val="00056A9C"/>
    <w:rsid w:val="000611B7"/>
    <w:rsid w:val="000C7730"/>
    <w:rsid w:val="000F4495"/>
    <w:rsid w:val="00150553"/>
    <w:rsid w:val="00154E74"/>
    <w:rsid w:val="00155D3F"/>
    <w:rsid w:val="0015749F"/>
    <w:rsid w:val="00165726"/>
    <w:rsid w:val="00185C63"/>
    <w:rsid w:val="001C69F3"/>
    <w:rsid w:val="002055C7"/>
    <w:rsid w:val="00213EB0"/>
    <w:rsid w:val="00214802"/>
    <w:rsid w:val="0023278A"/>
    <w:rsid w:val="00241BC0"/>
    <w:rsid w:val="00282AA8"/>
    <w:rsid w:val="002A2005"/>
    <w:rsid w:val="002C16AF"/>
    <w:rsid w:val="002C7E0B"/>
    <w:rsid w:val="003041F0"/>
    <w:rsid w:val="00310A80"/>
    <w:rsid w:val="003273AE"/>
    <w:rsid w:val="003446B7"/>
    <w:rsid w:val="00354B5C"/>
    <w:rsid w:val="00356A8C"/>
    <w:rsid w:val="00357BB5"/>
    <w:rsid w:val="00374FD2"/>
    <w:rsid w:val="003A6F5D"/>
    <w:rsid w:val="003B5B02"/>
    <w:rsid w:val="003C42C8"/>
    <w:rsid w:val="003C5CBB"/>
    <w:rsid w:val="003D0A77"/>
    <w:rsid w:val="003F38E1"/>
    <w:rsid w:val="0040145C"/>
    <w:rsid w:val="00405D52"/>
    <w:rsid w:val="004213D2"/>
    <w:rsid w:val="004553C8"/>
    <w:rsid w:val="00474033"/>
    <w:rsid w:val="004A7FA6"/>
    <w:rsid w:val="004E265D"/>
    <w:rsid w:val="004E4B42"/>
    <w:rsid w:val="004F09CF"/>
    <w:rsid w:val="004F5242"/>
    <w:rsid w:val="00501A0E"/>
    <w:rsid w:val="00551CA4"/>
    <w:rsid w:val="00553A87"/>
    <w:rsid w:val="00554339"/>
    <w:rsid w:val="0056239E"/>
    <w:rsid w:val="005A2525"/>
    <w:rsid w:val="005D2844"/>
    <w:rsid w:val="00646F4F"/>
    <w:rsid w:val="00685B7C"/>
    <w:rsid w:val="006B6781"/>
    <w:rsid w:val="00791FF3"/>
    <w:rsid w:val="00796C18"/>
    <w:rsid w:val="007D0F10"/>
    <w:rsid w:val="008133AC"/>
    <w:rsid w:val="00831BF0"/>
    <w:rsid w:val="00845209"/>
    <w:rsid w:val="008466FB"/>
    <w:rsid w:val="00894103"/>
    <w:rsid w:val="008A2548"/>
    <w:rsid w:val="008B2DC4"/>
    <w:rsid w:val="008C5C4F"/>
    <w:rsid w:val="008E75B3"/>
    <w:rsid w:val="00924938"/>
    <w:rsid w:val="0092733E"/>
    <w:rsid w:val="009451BA"/>
    <w:rsid w:val="00965B5C"/>
    <w:rsid w:val="00971221"/>
    <w:rsid w:val="00990927"/>
    <w:rsid w:val="009956FE"/>
    <w:rsid w:val="009C3E41"/>
    <w:rsid w:val="009D116F"/>
    <w:rsid w:val="009F3E7E"/>
    <w:rsid w:val="00A10120"/>
    <w:rsid w:val="00A15A43"/>
    <w:rsid w:val="00A21924"/>
    <w:rsid w:val="00A31621"/>
    <w:rsid w:val="00A372FE"/>
    <w:rsid w:val="00A41021"/>
    <w:rsid w:val="00A4251C"/>
    <w:rsid w:val="00A56F38"/>
    <w:rsid w:val="00A65B2F"/>
    <w:rsid w:val="00A936BF"/>
    <w:rsid w:val="00A94E25"/>
    <w:rsid w:val="00AA2E6C"/>
    <w:rsid w:val="00AA3356"/>
    <w:rsid w:val="00AC3BD4"/>
    <w:rsid w:val="00AC50D4"/>
    <w:rsid w:val="00AC5C61"/>
    <w:rsid w:val="00AD6D6B"/>
    <w:rsid w:val="00AE6FCC"/>
    <w:rsid w:val="00B21A35"/>
    <w:rsid w:val="00B26A6C"/>
    <w:rsid w:val="00B40ECF"/>
    <w:rsid w:val="00BD15E1"/>
    <w:rsid w:val="00BF0365"/>
    <w:rsid w:val="00C10DD7"/>
    <w:rsid w:val="00C145E0"/>
    <w:rsid w:val="00C3452C"/>
    <w:rsid w:val="00C47464"/>
    <w:rsid w:val="00C706E7"/>
    <w:rsid w:val="00C9098C"/>
    <w:rsid w:val="00C94107"/>
    <w:rsid w:val="00C94F6A"/>
    <w:rsid w:val="00CA00AA"/>
    <w:rsid w:val="00CC6FA8"/>
    <w:rsid w:val="00CF547C"/>
    <w:rsid w:val="00D37526"/>
    <w:rsid w:val="00D822F0"/>
    <w:rsid w:val="00DA4A1D"/>
    <w:rsid w:val="00DB44F4"/>
    <w:rsid w:val="00DE4DF4"/>
    <w:rsid w:val="00DE59CC"/>
    <w:rsid w:val="00E33F12"/>
    <w:rsid w:val="00E3433D"/>
    <w:rsid w:val="00E776CA"/>
    <w:rsid w:val="00EE00D6"/>
    <w:rsid w:val="00EF3B4C"/>
    <w:rsid w:val="00F07AD0"/>
    <w:rsid w:val="00F478F4"/>
    <w:rsid w:val="00F63579"/>
    <w:rsid w:val="00F65E39"/>
    <w:rsid w:val="00F72C88"/>
    <w:rsid w:val="00F96E31"/>
    <w:rsid w:val="00FB5A6A"/>
    <w:rsid w:val="00FB7C6B"/>
    <w:rsid w:val="00FD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6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rsid w:val="00C94F6A"/>
    <w:rPr>
      <w:i/>
      <w:iCs/>
    </w:rPr>
  </w:style>
  <w:style w:type="character" w:styleId="Hyperlink">
    <w:name w:val="Hyperlink"/>
    <w:rsid w:val="00213EB0"/>
    <w:rPr>
      <w:color w:val="0000FF"/>
      <w:u w:val="single"/>
    </w:rPr>
  </w:style>
  <w:style w:type="paragraph" w:styleId="Header">
    <w:name w:val="header"/>
    <w:basedOn w:val="Normal"/>
    <w:rsid w:val="00455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3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76CA"/>
  </w:style>
  <w:style w:type="paragraph" w:styleId="NormalWeb">
    <w:name w:val="Normal (Web)"/>
    <w:basedOn w:val="Normal"/>
    <w:uiPriority w:val="99"/>
    <w:unhideWhenUsed/>
    <w:rsid w:val="00796C18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Kolej Tunku Kurshiah</vt:lpstr>
    </vt:vector>
  </TitlesOfParts>
  <Company>KPM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Tunku Kurshiah</dc:title>
  <dc:creator>KPM</dc:creator>
  <cp:lastModifiedBy>ujie</cp:lastModifiedBy>
  <cp:revision>2</cp:revision>
  <dcterms:created xsi:type="dcterms:W3CDTF">2013-04-15T05:05:00Z</dcterms:created>
  <dcterms:modified xsi:type="dcterms:W3CDTF">2013-04-15T05:05:00Z</dcterms:modified>
</cp:coreProperties>
</file>